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FA79" w14:textId="02119885" w:rsidR="00B70F0B" w:rsidRDefault="00B70F0B" w:rsidP="00B70F0B">
      <w:pPr>
        <w:pStyle w:val="Heading1"/>
      </w:pPr>
      <w:r w:rsidRPr="003E29B5">
        <w:rPr>
          <w:noProof/>
          <w:lang w:val="en-AU" w:eastAsia="en-AU"/>
        </w:rPr>
        <mc:AlternateContent>
          <mc:Choice Requires="wps">
            <w:drawing>
              <wp:anchor distT="0" distB="0" distL="114300" distR="114300" simplePos="0" relativeHeight="251658240" behindDoc="0" locked="0" layoutInCell="1" allowOverlap="1" wp14:anchorId="2A3B5C87" wp14:editId="7814D272">
                <wp:simplePos x="0" y="0"/>
                <wp:positionH relativeFrom="column">
                  <wp:posOffset>-188595</wp:posOffset>
                </wp:positionH>
                <wp:positionV relativeFrom="paragraph">
                  <wp:posOffset>-274955</wp:posOffset>
                </wp:positionV>
                <wp:extent cx="6087745" cy="114681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087745" cy="1146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B3BCB" w14:textId="2E92CDCB" w:rsidR="00B70F0B" w:rsidRPr="00B70F0B" w:rsidRDefault="005C5992" w:rsidP="00B70F0B">
                            <w:pPr>
                              <w:pStyle w:val="Subtitle"/>
                              <w:jc w:val="right"/>
                            </w:pPr>
                            <w:r>
                              <w:t>Naranga School</w:t>
                            </w:r>
                          </w:p>
                          <w:p w14:paraId="72833BD3" w14:textId="13A83D93" w:rsidR="003E29B5" w:rsidRDefault="00604BAF" w:rsidP="00B70F0B">
                            <w:pPr>
                              <w:pStyle w:val="Title"/>
                              <w:jc w:val="right"/>
                              <w:rPr>
                                <w:rStyle w:val="SubtleEmphasis"/>
                                <w:i w:val="0"/>
                                <w:color w:val="AF272F"/>
                              </w:rPr>
                            </w:pPr>
                            <w:r>
                              <w:rPr>
                                <w:rStyle w:val="SubtleEmphasis"/>
                                <w:i w:val="0"/>
                                <w:color w:val="AF272F"/>
                              </w:rPr>
                              <w:t>CASH HANDLING POLICY</w:t>
                            </w:r>
                          </w:p>
                          <w:p w14:paraId="2F9AFD99" w14:textId="29B54135" w:rsidR="003E29B5" w:rsidRPr="00B70F0B" w:rsidRDefault="00B70F0B" w:rsidP="00B70F0B">
                            <w:pPr>
                              <w:pStyle w:val="Subtitle"/>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3B5C87" id="_x0000_t202" coordsize="21600,21600" o:spt="202" path="m,l,21600r21600,l21600,xe">
                <v:stroke joinstyle="miter"/>
                <v:path gradientshapeok="t" o:connecttype="rect"/>
              </v:shapetype>
              <v:shape id="Text Box 3" o:spid="_x0000_s1026" type="#_x0000_t202" style="position:absolute;margin-left:-14.85pt;margin-top:-21.65pt;width:479.3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FOrQIAAKQFAAAOAAAAZHJzL2Uyb0RvYy54bWysVEtv2zAMvg/YfxB0T22nzqNGncJNkWFA&#10;sRZrh54VWWqM2aImKYmzYf99lGynWbdLh11sivxEkR8fl1dtU5OdMLYCldPkLKZEKA5lpZ5z+uVx&#10;NZpTYh1TJatBiZwehKVXi/fvLvc6E2PYQF0KQ9CJstle53TjnM6iyPKNaJg9Ay0UGiWYhjk8mueo&#10;NGyP3ps6GsfxNNqDKbUBLqxF7U1npIvgX0rB3Z2UVjhS5xRjc+Frwnftv9HikmXPhulNxfsw2D9E&#10;0bBK4aNHVzfMMbI11R+umoobsCDdGYcmAikrLkIOmE0Sv8rmYcO0CLkgOVYfabL/zy3/tLs3pCpz&#10;ek6JYg2W6FG0jlxDS849O3ttMwQ9aIS5FtVY5UFvUemTbqVp/B/TIWhHng9Hbr0zjsppPJ/N0gkl&#10;HG1Jkk7nSWA/ermujXUfBDTECzk1WLzAKdvdWoehIHSA+NcUrKq6DgWs1W8KBHYaETqgu80yDAVF&#10;j/RBher8WE5m42I2uRhNi0kySpN4PiqKeDy6WRVxEaer5UV6/dPniz6H+5HnpMs9SO5QC++1Vp+F&#10;RC4DBV4Rulgsa0N2DPuPcS6UC+yFCBHtURKzeMvFHh/yCPm95XLHyPAyKHe83FQKTOD7Vdjl1yFk&#10;2eGRjJO8vejaddv3yhrKA7aKgW7UrOarCst5y6y7ZwZnC7sD94W7w4+sYZ9T6CVKNmC+/03v8djy&#10;aKVkj7OaU/tty4ygpP6ocBgukjT1wx0OKVYUD+bUsj61qG2zBCxHgptJ8yB6vKsHURponnCtFP5V&#10;NDHF8e2cukFcum6D4FrioigCCMdZM3erHjT3rn11fLM+tk/M6L6jHXbQJximmmWvGrvD+psKiq0D&#10;WYWu9wR3rPbE4yoI/divLb9rTs8B9bJcF78AAAD//wMAUEsDBBQABgAIAAAAIQDfgPS13wAAAAsB&#10;AAAPAAAAZHJzL2Rvd25yZXYueG1sTI9NT8MwDIbvSPyHyEjctoR2bLQ0nRCIK2jjQ+KWNV5b0ThV&#10;k63l3887sZstP3r9vMV6cp044hBaTxru5goEUuVtS7WGz4/X2QOIEA1Z03lCDX8YYF1eXxUmt36k&#10;DR63sRYcQiE3GpoY+1zKUDXoTJj7Holvez84E3kdamkHM3K462Si1FI60xJ/aEyPzw1Wv9uD0/D1&#10;tv/5Xqj3+sXd96OflCSXSa1vb6anRxARp/gPw1mf1aFkp50/kA2i0zBLshWjPCzSFAQTWZJxux2j&#10;6SoFWRbyskN5AgAA//8DAFBLAQItABQABgAIAAAAIQC2gziS/gAAAOEBAAATAAAAAAAAAAAAAAAA&#10;AAAAAABbQ29udGVudF9UeXBlc10ueG1sUEsBAi0AFAAGAAgAAAAhADj9If/WAAAAlAEAAAsAAAAA&#10;AAAAAAAAAAAALwEAAF9yZWxzLy5yZWxzUEsBAi0AFAAGAAgAAAAhAJkdkU6tAgAApAUAAA4AAAAA&#10;AAAAAAAAAAAALgIAAGRycy9lMm9Eb2MueG1sUEsBAi0AFAAGAAgAAAAhAN+A9LXfAAAACwEAAA8A&#10;AAAAAAAAAAAAAAAABwUAAGRycy9kb3ducmV2LnhtbFBLBQYAAAAABAAEAPMAAAATBgAAAAA=&#10;" filled="f" stroked="f">
                <v:textbox>
                  <w:txbxContent>
                    <w:p w14:paraId="796B3BCB" w14:textId="2E92CDCB" w:rsidR="00B70F0B" w:rsidRPr="00B70F0B" w:rsidRDefault="005C5992" w:rsidP="00B70F0B">
                      <w:pPr>
                        <w:pStyle w:val="Subtitle"/>
                        <w:jc w:val="right"/>
                      </w:pPr>
                      <w:r>
                        <w:t>Naranga School</w:t>
                      </w:r>
                    </w:p>
                    <w:p w14:paraId="72833BD3" w14:textId="13A83D93" w:rsidR="003E29B5" w:rsidRDefault="00604BAF" w:rsidP="00B70F0B">
                      <w:pPr>
                        <w:pStyle w:val="Title"/>
                        <w:jc w:val="right"/>
                        <w:rPr>
                          <w:rStyle w:val="SubtleEmphasis"/>
                          <w:i w:val="0"/>
                          <w:color w:val="AF272F"/>
                        </w:rPr>
                      </w:pPr>
                      <w:r>
                        <w:rPr>
                          <w:rStyle w:val="SubtleEmphasis"/>
                          <w:i w:val="0"/>
                          <w:color w:val="AF272F"/>
                        </w:rPr>
                        <w:t>CASH HANDLING POLICY</w:t>
                      </w:r>
                    </w:p>
                    <w:p w14:paraId="2F9AFD99" w14:textId="29B54135" w:rsidR="003E29B5" w:rsidRPr="00B70F0B" w:rsidRDefault="00B70F0B" w:rsidP="00B70F0B">
                      <w:pPr>
                        <w:pStyle w:val="Subtitle"/>
                        <w:rPr>
                          <w:b/>
                        </w:rPr>
                      </w:pPr>
                      <w:r>
                        <w:rPr>
                          <w:b/>
                        </w:rPr>
                        <w:t xml:space="preserve">  </w:t>
                      </w:r>
                    </w:p>
                  </w:txbxContent>
                </v:textbox>
                <w10:wrap type="topAndBottom"/>
              </v:shape>
            </w:pict>
          </mc:Fallback>
        </mc:AlternateContent>
      </w:r>
    </w:p>
    <w:p w14:paraId="486A190A" w14:textId="60002ED5" w:rsidR="00B70F0B" w:rsidRPr="00A21F45" w:rsidRDefault="00B70F0B" w:rsidP="00B70F0B">
      <w:pPr>
        <w:pStyle w:val="Heading1"/>
        <w:rPr>
          <w:sz w:val="22"/>
        </w:rPr>
      </w:pPr>
      <w:r w:rsidRPr="00A21F45">
        <w:rPr>
          <w:sz w:val="22"/>
        </w:rPr>
        <w:t xml:space="preserve">Purpose </w:t>
      </w:r>
    </w:p>
    <w:p w14:paraId="294F70CC" w14:textId="46A11BAE" w:rsidR="00B70F0B" w:rsidRPr="00561555" w:rsidRDefault="00B70F0B" w:rsidP="00B70F0B">
      <w:pPr>
        <w:rPr>
          <w:sz w:val="24"/>
          <w:szCs w:val="24"/>
        </w:rPr>
      </w:pPr>
      <w:r w:rsidRPr="00561555">
        <w:rPr>
          <w:sz w:val="24"/>
          <w:szCs w:val="24"/>
        </w:rPr>
        <w:t xml:space="preserve">To ensure that </w:t>
      </w:r>
      <w:r w:rsidR="00604BAF" w:rsidRPr="00561555">
        <w:rPr>
          <w:sz w:val="24"/>
          <w:szCs w:val="24"/>
        </w:rPr>
        <w:t>cash handling</w:t>
      </w:r>
      <w:r w:rsidRPr="00561555">
        <w:rPr>
          <w:sz w:val="24"/>
          <w:szCs w:val="24"/>
        </w:rPr>
        <w:t xml:space="preserve"> practices are consistent, transparent and ensure that all </w:t>
      </w:r>
      <w:r w:rsidR="00561555" w:rsidRPr="00561555">
        <w:rPr>
          <w:sz w:val="24"/>
          <w:szCs w:val="24"/>
        </w:rPr>
        <w:t>staff handling cash are following process.</w:t>
      </w:r>
      <w:r w:rsidRPr="00561555">
        <w:rPr>
          <w:sz w:val="24"/>
          <w:szCs w:val="24"/>
        </w:rPr>
        <w:t xml:space="preserve"> </w:t>
      </w:r>
    </w:p>
    <w:p w14:paraId="67A7059E" w14:textId="77777777" w:rsidR="00B70F0B" w:rsidRPr="00665E52" w:rsidRDefault="00B70F0B" w:rsidP="00B70F0B">
      <w:pPr>
        <w:spacing w:after="0" w:line="240" w:lineRule="auto"/>
        <w:jc w:val="both"/>
        <w:rPr>
          <w:rFonts w:eastAsia="Times New Roman"/>
          <w:lang w:eastAsia="en-AU"/>
        </w:rPr>
      </w:pPr>
    </w:p>
    <w:p w14:paraId="0D8F717E" w14:textId="77777777" w:rsidR="00B70F0B" w:rsidRPr="00A21F45" w:rsidRDefault="00B70F0B" w:rsidP="00B70F0B">
      <w:pPr>
        <w:pStyle w:val="Heading1"/>
        <w:rPr>
          <w:sz w:val="22"/>
          <w:lang w:eastAsia="en-AU"/>
        </w:rPr>
      </w:pPr>
      <w:r w:rsidRPr="00A21F45">
        <w:rPr>
          <w:sz w:val="22"/>
          <w:lang w:eastAsia="en-AU"/>
        </w:rPr>
        <w:t xml:space="preserve">Rationale </w:t>
      </w:r>
    </w:p>
    <w:p w14:paraId="0E0E1B4F" w14:textId="49FCA96B" w:rsidR="00561555" w:rsidRPr="00561555" w:rsidRDefault="00561555" w:rsidP="00561555">
      <w:pPr>
        <w:rPr>
          <w:sz w:val="22"/>
          <w:szCs w:val="22"/>
        </w:rPr>
      </w:pPr>
      <w:r w:rsidRPr="00561555">
        <w:rPr>
          <w:sz w:val="22"/>
          <w:szCs w:val="22"/>
        </w:rPr>
        <w:t xml:space="preserve"> </w:t>
      </w:r>
      <w:r w:rsidRPr="00561555">
        <w:rPr>
          <w:sz w:val="22"/>
          <w:szCs w:val="22"/>
        </w:rPr>
        <w:t xml:space="preserve">The policy aims to provide guidelines for effective financial management and </w:t>
      </w:r>
      <w:r w:rsidRPr="00561555">
        <w:rPr>
          <w:sz w:val="22"/>
          <w:szCs w:val="22"/>
        </w:rPr>
        <w:t>minimize</w:t>
      </w:r>
      <w:r w:rsidRPr="00561555">
        <w:rPr>
          <w:sz w:val="22"/>
          <w:szCs w:val="22"/>
        </w:rPr>
        <w:t xml:space="preserve"> the risks associated with ca</w:t>
      </w:r>
      <w:bookmarkStart w:id="0" w:name="_GoBack"/>
      <w:bookmarkEnd w:id="0"/>
      <w:r w:rsidRPr="00561555">
        <w:rPr>
          <w:sz w:val="22"/>
          <w:szCs w:val="22"/>
        </w:rPr>
        <w:t>sh handling, in accordance with DET guidelines and best practice.</w:t>
      </w:r>
    </w:p>
    <w:p w14:paraId="6186F68C" w14:textId="77777777" w:rsidR="00561555" w:rsidRPr="00AE6DE8" w:rsidRDefault="00561555" w:rsidP="00561555"/>
    <w:p w14:paraId="05CEB37A" w14:textId="66E9A749" w:rsidR="00B70F0B" w:rsidRDefault="00561555" w:rsidP="00B70F0B">
      <w:pPr>
        <w:pStyle w:val="Heading1"/>
        <w:rPr>
          <w:sz w:val="22"/>
        </w:rPr>
      </w:pPr>
      <w:r>
        <w:rPr>
          <w:sz w:val="22"/>
        </w:rPr>
        <w:t>Implementation CASH COLLECTION</w:t>
      </w:r>
    </w:p>
    <w:p w14:paraId="5D0FF940" w14:textId="6E08C7BC" w:rsidR="00561555" w:rsidRPr="00561555" w:rsidRDefault="00561555" w:rsidP="00561555"/>
    <w:p w14:paraId="508D7174"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 xml:space="preserve">Money entering the school for camps, excursions, incursions and fundraising is recorded on the ‘Receipt of Monies’ form by the teacher in the classroom. The form is kept in the classroom. The money is sent to the office in the satchel provided.  </w:t>
      </w:r>
    </w:p>
    <w:p w14:paraId="5D465C76" w14:textId="7D7B1E7D" w:rsidR="00561555" w:rsidRPr="00AE6DE8" w:rsidRDefault="00561555" w:rsidP="00561555">
      <w:pPr>
        <w:pStyle w:val="ListParagraph"/>
        <w:numPr>
          <w:ilvl w:val="0"/>
          <w:numId w:val="23"/>
        </w:numPr>
        <w:spacing w:after="0" w:line="276" w:lineRule="auto"/>
        <w:rPr>
          <w:sz w:val="24"/>
          <w:szCs w:val="24"/>
        </w:rPr>
      </w:pPr>
      <w:r w:rsidRPr="00AE6DE8">
        <w:rPr>
          <w:sz w:val="24"/>
          <w:szCs w:val="24"/>
        </w:rPr>
        <w:t>Money received from the sale of goods (for example, from the Ca</w:t>
      </w:r>
      <w:r>
        <w:rPr>
          <w:sz w:val="24"/>
          <w:szCs w:val="24"/>
        </w:rPr>
        <w:t xml:space="preserve">fé, Trade kitchen, </w:t>
      </w:r>
      <w:r w:rsidRPr="00AE6DE8">
        <w:rPr>
          <w:sz w:val="24"/>
          <w:szCs w:val="24"/>
        </w:rPr>
        <w:t xml:space="preserve"> is counted, recorded on a spreadsheet or cash book, signed and dated by the teacher in charge. The money is sent to the office in the satchel provided on the day of the program. </w:t>
      </w:r>
    </w:p>
    <w:p w14:paraId="6F55F53A"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All money is counted by two staff in the office. The spreadsheet or cash book is countersigned, and the money is receipted.  The spreadsheets and cash books are kept as records of all money received within the school.</w:t>
      </w:r>
    </w:p>
    <w:p w14:paraId="4FADB485"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No cash is to be kept in the classroom or offices.</w:t>
      </w:r>
    </w:p>
    <w:p w14:paraId="55F3354C"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Receipts are entered onto CASES21 when money is received and a receipt is issued stating the purpose of the payment.  In circumstances where creating a receipt is not possible, a manual receipt can be issued.  The receipt book should be reconciled to the CASES21 transactions when entered to ensure all receipts received by the school are banked.</w:t>
      </w:r>
    </w:p>
    <w:p w14:paraId="6E507C6C"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No receipt should be altered. If an error has been made the receipt should be cancelled.</w:t>
      </w:r>
    </w:p>
    <w:p w14:paraId="20C236F1"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Personal cheques are not to be cashed under any circumstances.</w:t>
      </w:r>
    </w:p>
    <w:p w14:paraId="55C29131"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All cash is to be kept in the safe during the day.  Any cash not banked during the day must be secured in the safe.  Access to the safe is restricted.</w:t>
      </w:r>
    </w:p>
    <w:p w14:paraId="2448F63F"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lastRenderedPageBreak/>
        <w:t>Prior to banking, the total value of the receipts is to be reconciled with the total of cash, cheques, EFTPOS and credit card transactions combined.</w:t>
      </w:r>
    </w:p>
    <w:p w14:paraId="1E1B8284" w14:textId="77777777" w:rsidR="00561555" w:rsidRPr="00AE6DE8" w:rsidRDefault="00561555" w:rsidP="00561555">
      <w:pPr>
        <w:pStyle w:val="ListParagraph"/>
        <w:numPr>
          <w:ilvl w:val="0"/>
          <w:numId w:val="23"/>
        </w:numPr>
        <w:spacing w:after="0" w:line="276" w:lineRule="auto"/>
        <w:rPr>
          <w:sz w:val="24"/>
          <w:szCs w:val="24"/>
        </w:rPr>
      </w:pPr>
      <w:r w:rsidRPr="00AE6DE8">
        <w:rPr>
          <w:sz w:val="24"/>
          <w:szCs w:val="24"/>
        </w:rPr>
        <w:t>Refunds issued by the school must be by cheque and not in cash.</w:t>
      </w:r>
    </w:p>
    <w:p w14:paraId="206ABB33" w14:textId="77777777" w:rsidR="00561555" w:rsidRDefault="00561555" w:rsidP="00561555">
      <w:pPr>
        <w:pStyle w:val="ListParagraph"/>
        <w:spacing w:after="0"/>
        <w:rPr>
          <w:sz w:val="24"/>
          <w:szCs w:val="24"/>
        </w:rPr>
      </w:pPr>
    </w:p>
    <w:p w14:paraId="5F6304C7" w14:textId="5EDF31C3" w:rsidR="00B70F0B" w:rsidRPr="00A21F45" w:rsidRDefault="00561555" w:rsidP="00B70F0B">
      <w:pPr>
        <w:pStyle w:val="Heading1"/>
        <w:rPr>
          <w:sz w:val="22"/>
        </w:rPr>
      </w:pPr>
      <w:r>
        <w:rPr>
          <w:sz w:val="22"/>
        </w:rPr>
        <w:t>bANKING</w:t>
      </w:r>
    </w:p>
    <w:p w14:paraId="2602040F"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Preparation for banking is done by completing the bank deposit forms, which must reconcile with total money received, which is then recorded in CASES21.</w:t>
      </w:r>
    </w:p>
    <w:p w14:paraId="3662753D"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School banking is done at least once a week.</w:t>
      </w:r>
    </w:p>
    <w:p w14:paraId="7A386B11"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Money kept on the premises overnight is locked in a secure location.</w:t>
      </w:r>
    </w:p>
    <w:p w14:paraId="61705712"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Money is not left on school premises during vacation periods.</w:t>
      </w:r>
    </w:p>
    <w:p w14:paraId="2DC93CF5" w14:textId="4D33DD34" w:rsidR="00561555" w:rsidRPr="00AE6DE8" w:rsidRDefault="00561555" w:rsidP="00561555">
      <w:pPr>
        <w:pStyle w:val="ListParagraph"/>
        <w:numPr>
          <w:ilvl w:val="0"/>
          <w:numId w:val="24"/>
        </w:numPr>
        <w:spacing w:after="0" w:line="276" w:lineRule="auto"/>
        <w:rPr>
          <w:sz w:val="24"/>
          <w:szCs w:val="24"/>
        </w:rPr>
      </w:pPr>
      <w:r w:rsidRPr="00AE6DE8">
        <w:rPr>
          <w:sz w:val="24"/>
          <w:szCs w:val="24"/>
        </w:rPr>
        <w:t xml:space="preserve">In the case of a </w:t>
      </w:r>
      <w:r w:rsidRPr="00AE6DE8">
        <w:rPr>
          <w:sz w:val="24"/>
          <w:szCs w:val="24"/>
        </w:rPr>
        <w:t>dishonored</w:t>
      </w:r>
      <w:r w:rsidRPr="00AE6DE8">
        <w:rPr>
          <w:sz w:val="24"/>
          <w:szCs w:val="24"/>
        </w:rPr>
        <w:t xml:space="preserve"> cheque, communication with the drawer of the cheque must be made immediately.</w:t>
      </w:r>
    </w:p>
    <w:p w14:paraId="1C3460AB"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Bank reconciliations occur once a month.</w:t>
      </w:r>
    </w:p>
    <w:p w14:paraId="206D358C"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Any discrepancies are reported to the Business Manager for immediate investigation.</w:t>
      </w:r>
    </w:p>
    <w:p w14:paraId="18AC02E5" w14:textId="77777777" w:rsidR="00561555" w:rsidRPr="00AE6DE8" w:rsidRDefault="00561555" w:rsidP="00561555">
      <w:pPr>
        <w:pStyle w:val="ListParagraph"/>
        <w:numPr>
          <w:ilvl w:val="0"/>
          <w:numId w:val="24"/>
        </w:numPr>
        <w:spacing w:after="0" w:line="276" w:lineRule="auto"/>
        <w:rPr>
          <w:sz w:val="24"/>
          <w:szCs w:val="24"/>
        </w:rPr>
      </w:pPr>
      <w:r w:rsidRPr="00AE6DE8">
        <w:rPr>
          <w:sz w:val="24"/>
          <w:szCs w:val="24"/>
        </w:rPr>
        <w:t>Any discrepancies that cannot be accounted for are immediately reported to the Principal.</w:t>
      </w:r>
    </w:p>
    <w:p w14:paraId="19F7C62A" w14:textId="747ABCCD" w:rsidR="00561555" w:rsidRPr="00561555" w:rsidRDefault="00561555" w:rsidP="00561555">
      <w:pPr>
        <w:pStyle w:val="ListParagraph"/>
        <w:numPr>
          <w:ilvl w:val="0"/>
          <w:numId w:val="24"/>
        </w:numPr>
        <w:spacing w:after="0" w:line="276" w:lineRule="auto"/>
        <w:rPr>
          <w:rStyle w:val="Hyperlink"/>
          <w:color w:val="auto"/>
          <w:sz w:val="24"/>
          <w:szCs w:val="24"/>
          <w:u w:val="none"/>
        </w:rPr>
      </w:pPr>
      <w:r w:rsidRPr="00AE6DE8">
        <w:rPr>
          <w:sz w:val="24"/>
          <w:szCs w:val="24"/>
        </w:rPr>
        <w:t xml:space="preserve">All cases of suspected or actual theft of money, fraud, misappropriation or corruptions are reported to the Principal and Executive Director, Audit and Risk Division, DET </w:t>
      </w:r>
      <w:hyperlink r:id="rId11" w:history="1">
        <w:r w:rsidRPr="00AE6DE8">
          <w:rPr>
            <w:rStyle w:val="Hyperlink"/>
            <w:sz w:val="24"/>
            <w:szCs w:val="24"/>
          </w:rPr>
          <w:t>fraud.control@edumail.vic.gov.au</w:t>
        </w:r>
      </w:hyperlink>
    </w:p>
    <w:p w14:paraId="23A9E8F4" w14:textId="77777777" w:rsidR="00561555" w:rsidRPr="00AE6DE8" w:rsidRDefault="00561555" w:rsidP="00561555">
      <w:pPr>
        <w:pStyle w:val="ListParagraph"/>
        <w:spacing w:after="0" w:line="276" w:lineRule="auto"/>
        <w:rPr>
          <w:sz w:val="24"/>
          <w:szCs w:val="24"/>
        </w:rPr>
      </w:pPr>
    </w:p>
    <w:p w14:paraId="49B96BC7" w14:textId="7CB7F9D8" w:rsidR="00B70F0B" w:rsidRDefault="00561555" w:rsidP="00B70F0B">
      <w:pPr>
        <w:pStyle w:val="Heading1"/>
        <w:rPr>
          <w:sz w:val="22"/>
        </w:rPr>
      </w:pPr>
      <w:r>
        <w:rPr>
          <w:sz w:val="22"/>
        </w:rPr>
        <w:t>EVALUATION</w:t>
      </w:r>
    </w:p>
    <w:p w14:paraId="38F8C49C" w14:textId="3A9B794D" w:rsidR="00561555" w:rsidRDefault="00561555" w:rsidP="00561555"/>
    <w:p w14:paraId="24CD98FD" w14:textId="77777777" w:rsidR="00561555" w:rsidRPr="00561555" w:rsidRDefault="00561555" w:rsidP="00561555">
      <w:pPr>
        <w:rPr>
          <w:sz w:val="24"/>
          <w:szCs w:val="24"/>
        </w:rPr>
      </w:pPr>
      <w:r w:rsidRPr="00561555">
        <w:rPr>
          <w:sz w:val="24"/>
          <w:szCs w:val="24"/>
        </w:rPr>
        <w:t>This policy is reviewed on an annual basis for endorsement by School Council.</w:t>
      </w:r>
    </w:p>
    <w:p w14:paraId="798956A3" w14:textId="0939D742" w:rsidR="00561555" w:rsidRDefault="00561555" w:rsidP="00561555"/>
    <w:p w14:paraId="0B03B561" w14:textId="01F9E10D" w:rsidR="00561555" w:rsidRPr="00561555" w:rsidRDefault="00561555" w:rsidP="00561555">
      <w:pPr>
        <w:rPr>
          <w:sz w:val="24"/>
          <w:szCs w:val="24"/>
        </w:rPr>
      </w:pPr>
      <w:r w:rsidRPr="00561555">
        <w:rPr>
          <w:sz w:val="24"/>
          <w:szCs w:val="24"/>
        </w:rPr>
        <w:t>This policy was ratified by School Council in March 2021</w:t>
      </w:r>
    </w:p>
    <w:sectPr w:rsidR="00561555" w:rsidRPr="00561555" w:rsidSect="00561555">
      <w:headerReference w:type="default" r:id="rId12"/>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3B93" w14:textId="77777777" w:rsidR="002601EC" w:rsidRDefault="002601EC" w:rsidP="008766A4">
      <w:r>
        <w:separator/>
      </w:r>
    </w:p>
  </w:endnote>
  <w:endnote w:type="continuationSeparator" w:id="0">
    <w:p w14:paraId="2A187A3A" w14:textId="77777777" w:rsidR="002601EC" w:rsidRDefault="002601E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A762" w14:textId="77777777" w:rsidR="002601EC" w:rsidRDefault="002601EC" w:rsidP="008766A4">
      <w:r>
        <w:separator/>
      </w:r>
    </w:p>
  </w:footnote>
  <w:footnote w:type="continuationSeparator" w:id="0">
    <w:p w14:paraId="7D892179" w14:textId="77777777" w:rsidR="002601EC" w:rsidRDefault="002601E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5A52" w14:textId="41C6B1A4" w:rsidR="007F6314" w:rsidRPr="003E29B5" w:rsidRDefault="004C6585" w:rsidP="008766A4">
    <w:r w:rsidRPr="003E29B5">
      <w:rPr>
        <w:noProof/>
        <w:lang w:val="en-AU" w:eastAsia="en-AU"/>
      </w:rPr>
      <w:drawing>
        <wp:anchor distT="0" distB="0" distL="114300" distR="114300" simplePos="0" relativeHeight="251659264" behindDoc="1" locked="0" layoutInCell="1" allowOverlap="1" wp14:anchorId="7E99AB81" wp14:editId="0C194B37">
          <wp:simplePos x="0" y="0"/>
          <wp:positionH relativeFrom="page">
            <wp:posOffset>8890</wp:posOffset>
          </wp:positionH>
          <wp:positionV relativeFrom="page">
            <wp:posOffset>52705</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55F2D"/>
    <w:multiLevelType w:val="hybridMultilevel"/>
    <w:tmpl w:val="7BF84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4745C7"/>
    <w:multiLevelType w:val="hybridMultilevel"/>
    <w:tmpl w:val="5B8430F4"/>
    <w:lvl w:ilvl="0" w:tplc="4DB0D3F0">
      <w:start w:val="1"/>
      <w:numFmt w:val="bullet"/>
      <w:lvlText w:val="•"/>
      <w:lvlJc w:val="left"/>
      <w:pPr>
        <w:tabs>
          <w:tab w:val="num" w:pos="720"/>
        </w:tabs>
        <w:ind w:left="720" w:hanging="360"/>
      </w:pPr>
      <w:rPr>
        <w:rFonts w:ascii="Times New Roman" w:hAnsi="Times New Roman" w:hint="default"/>
      </w:rPr>
    </w:lvl>
    <w:lvl w:ilvl="1" w:tplc="2F8EB796" w:tentative="1">
      <w:start w:val="1"/>
      <w:numFmt w:val="bullet"/>
      <w:lvlText w:val="•"/>
      <w:lvlJc w:val="left"/>
      <w:pPr>
        <w:tabs>
          <w:tab w:val="num" w:pos="1440"/>
        </w:tabs>
        <w:ind w:left="1440" w:hanging="360"/>
      </w:pPr>
      <w:rPr>
        <w:rFonts w:ascii="Times New Roman" w:hAnsi="Times New Roman" w:hint="default"/>
      </w:rPr>
    </w:lvl>
    <w:lvl w:ilvl="2" w:tplc="67DA87E0" w:tentative="1">
      <w:start w:val="1"/>
      <w:numFmt w:val="bullet"/>
      <w:lvlText w:val="•"/>
      <w:lvlJc w:val="left"/>
      <w:pPr>
        <w:tabs>
          <w:tab w:val="num" w:pos="2160"/>
        </w:tabs>
        <w:ind w:left="2160" w:hanging="360"/>
      </w:pPr>
      <w:rPr>
        <w:rFonts w:ascii="Times New Roman" w:hAnsi="Times New Roman" w:hint="default"/>
      </w:rPr>
    </w:lvl>
    <w:lvl w:ilvl="3" w:tplc="FC5603C6" w:tentative="1">
      <w:start w:val="1"/>
      <w:numFmt w:val="bullet"/>
      <w:lvlText w:val="•"/>
      <w:lvlJc w:val="left"/>
      <w:pPr>
        <w:tabs>
          <w:tab w:val="num" w:pos="2880"/>
        </w:tabs>
        <w:ind w:left="2880" w:hanging="360"/>
      </w:pPr>
      <w:rPr>
        <w:rFonts w:ascii="Times New Roman" w:hAnsi="Times New Roman" w:hint="default"/>
      </w:rPr>
    </w:lvl>
    <w:lvl w:ilvl="4" w:tplc="0ABAF99E" w:tentative="1">
      <w:start w:val="1"/>
      <w:numFmt w:val="bullet"/>
      <w:lvlText w:val="•"/>
      <w:lvlJc w:val="left"/>
      <w:pPr>
        <w:tabs>
          <w:tab w:val="num" w:pos="3600"/>
        </w:tabs>
        <w:ind w:left="3600" w:hanging="360"/>
      </w:pPr>
      <w:rPr>
        <w:rFonts w:ascii="Times New Roman" w:hAnsi="Times New Roman" w:hint="default"/>
      </w:rPr>
    </w:lvl>
    <w:lvl w:ilvl="5" w:tplc="A5367660" w:tentative="1">
      <w:start w:val="1"/>
      <w:numFmt w:val="bullet"/>
      <w:lvlText w:val="•"/>
      <w:lvlJc w:val="left"/>
      <w:pPr>
        <w:tabs>
          <w:tab w:val="num" w:pos="4320"/>
        </w:tabs>
        <w:ind w:left="4320" w:hanging="360"/>
      </w:pPr>
      <w:rPr>
        <w:rFonts w:ascii="Times New Roman" w:hAnsi="Times New Roman" w:hint="default"/>
      </w:rPr>
    </w:lvl>
    <w:lvl w:ilvl="6" w:tplc="D77C2F1E" w:tentative="1">
      <w:start w:val="1"/>
      <w:numFmt w:val="bullet"/>
      <w:lvlText w:val="•"/>
      <w:lvlJc w:val="left"/>
      <w:pPr>
        <w:tabs>
          <w:tab w:val="num" w:pos="5040"/>
        </w:tabs>
        <w:ind w:left="5040" w:hanging="360"/>
      </w:pPr>
      <w:rPr>
        <w:rFonts w:ascii="Times New Roman" w:hAnsi="Times New Roman" w:hint="default"/>
      </w:rPr>
    </w:lvl>
    <w:lvl w:ilvl="7" w:tplc="0B38C400" w:tentative="1">
      <w:start w:val="1"/>
      <w:numFmt w:val="bullet"/>
      <w:lvlText w:val="•"/>
      <w:lvlJc w:val="left"/>
      <w:pPr>
        <w:tabs>
          <w:tab w:val="num" w:pos="5760"/>
        </w:tabs>
        <w:ind w:left="5760" w:hanging="360"/>
      </w:pPr>
      <w:rPr>
        <w:rFonts w:ascii="Times New Roman" w:hAnsi="Times New Roman" w:hint="default"/>
      </w:rPr>
    </w:lvl>
    <w:lvl w:ilvl="8" w:tplc="B25A9F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375944"/>
    <w:multiLevelType w:val="hybridMultilevel"/>
    <w:tmpl w:val="7B76BE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15936"/>
    <w:multiLevelType w:val="hybridMultilevel"/>
    <w:tmpl w:val="DED8BDCA"/>
    <w:lvl w:ilvl="0" w:tplc="0C090005">
      <w:start w:val="1"/>
      <w:numFmt w:val="bullet"/>
      <w:lvlText w:val=""/>
      <w:lvlJc w:val="left"/>
      <w:pPr>
        <w:ind w:left="720" w:hanging="360"/>
      </w:pPr>
      <w:rPr>
        <w:rFonts w:ascii="Wingdings" w:hAnsi="Wingdings" w:hint="default"/>
      </w:rPr>
    </w:lvl>
    <w:lvl w:ilvl="1" w:tplc="ABD817B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E26BBB"/>
    <w:multiLevelType w:val="hybridMultilevel"/>
    <w:tmpl w:val="7C5A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E40AAC"/>
    <w:multiLevelType w:val="hybridMultilevel"/>
    <w:tmpl w:val="58B0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E54544"/>
    <w:multiLevelType w:val="hybridMultilevel"/>
    <w:tmpl w:val="ED7A09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B6691"/>
    <w:multiLevelType w:val="hybridMultilevel"/>
    <w:tmpl w:val="98161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5"/>
  </w:num>
  <w:num w:numId="15">
    <w:abstractNumId w:val="11"/>
  </w:num>
  <w:num w:numId="16">
    <w:abstractNumId w:val="13"/>
  </w:num>
  <w:num w:numId="17">
    <w:abstractNumId w:val="16"/>
  </w:num>
  <w:num w:numId="18">
    <w:abstractNumId w:val="19"/>
  </w:num>
  <w:num w:numId="19">
    <w:abstractNumId w:val="20"/>
  </w:num>
  <w:num w:numId="20">
    <w:abstractNumId w:val="12"/>
  </w:num>
  <w:num w:numId="21">
    <w:abstractNumId w:val="22"/>
  </w:num>
  <w:num w:numId="22">
    <w:abstractNumId w:val="14"/>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0D79"/>
    <w:rsid w:val="0014310A"/>
    <w:rsid w:val="002601EC"/>
    <w:rsid w:val="00326F48"/>
    <w:rsid w:val="003621E1"/>
    <w:rsid w:val="003B01B0"/>
    <w:rsid w:val="003B50D8"/>
    <w:rsid w:val="003E29B5"/>
    <w:rsid w:val="004C6585"/>
    <w:rsid w:val="004D0911"/>
    <w:rsid w:val="004E246E"/>
    <w:rsid w:val="00561555"/>
    <w:rsid w:val="00596923"/>
    <w:rsid w:val="005C5992"/>
    <w:rsid w:val="00604BAF"/>
    <w:rsid w:val="007150E4"/>
    <w:rsid w:val="007F6314"/>
    <w:rsid w:val="00816ED5"/>
    <w:rsid w:val="008766A4"/>
    <w:rsid w:val="00890229"/>
    <w:rsid w:val="00980015"/>
    <w:rsid w:val="00995A9F"/>
    <w:rsid w:val="009F2302"/>
    <w:rsid w:val="00A04513"/>
    <w:rsid w:val="00A21F45"/>
    <w:rsid w:val="00B70F0B"/>
    <w:rsid w:val="00B800B3"/>
    <w:rsid w:val="00CC47F5"/>
    <w:rsid w:val="00D31299"/>
    <w:rsid w:val="00E32305"/>
    <w:rsid w:val="00E32AC2"/>
    <w:rsid w:val="00E91993"/>
    <w:rsid w:val="00EA7623"/>
    <w:rsid w:val="00EB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15:docId w15:val="{BFC5E941-A05A-4760-9B69-D4180213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FootnoteText">
    <w:name w:val="footnote text"/>
    <w:basedOn w:val="Normal"/>
    <w:link w:val="FootnoteTextChar"/>
    <w:uiPriority w:val="99"/>
    <w:unhideWhenUsed/>
    <w:rsid w:val="00B70F0B"/>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B70F0B"/>
    <w:rPr>
      <w:rFonts w:ascii="Calibri" w:eastAsia="Calibri" w:hAnsi="Calibri" w:cs="Times New Roman"/>
      <w:sz w:val="20"/>
      <w:szCs w:val="20"/>
      <w:lang w:val="en-AU"/>
    </w:rPr>
  </w:style>
  <w:style w:type="character" w:styleId="FootnoteReference">
    <w:name w:val="footnote reference"/>
    <w:uiPriority w:val="99"/>
    <w:unhideWhenUsed/>
    <w:rsid w:val="00B70F0B"/>
    <w:rPr>
      <w:vertAlign w:val="superscript"/>
    </w:rPr>
  </w:style>
  <w:style w:type="character" w:styleId="Hyperlink">
    <w:name w:val="Hyperlink"/>
    <w:basedOn w:val="DefaultParagraphFont"/>
    <w:uiPriority w:val="99"/>
    <w:unhideWhenUsed/>
    <w:rsid w:val="00B70F0B"/>
    <w:rPr>
      <w:color w:val="0000FF" w:themeColor="hyperlink"/>
      <w:u w:val="single"/>
    </w:rPr>
  </w:style>
  <w:style w:type="paragraph" w:styleId="ListParagraph">
    <w:name w:val="List Paragraph"/>
    <w:basedOn w:val="Normal"/>
    <w:uiPriority w:val="34"/>
    <w:qFormat/>
    <w:rsid w:val="00B7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control@edumail.vic.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526D-783F-44DF-B300-B6A2CA69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76b566cd-adb9-46c2-964b-22eba181fd0b"/>
    <ds:schemaRef ds:uri="http://purl.org/dc/elements/1.1/"/>
    <ds:schemaRef ds:uri="http://schemas.microsoft.com/office/2006/metadata/propertie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079D7A-F717-49BD-94E0-734A6CA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Leggett, Anne B</cp:lastModifiedBy>
  <cp:revision>3</cp:revision>
  <dcterms:created xsi:type="dcterms:W3CDTF">2021-03-16T23:12:00Z</dcterms:created>
  <dcterms:modified xsi:type="dcterms:W3CDTF">2021-03-16T23:15:00Z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{a23bdf8e-4805-4929-82f4-029f9d12c92e}</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1300</vt:r8>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DEECD_ItemType">
    <vt:lpwstr>99;#Form / Template|128fc848-3335-484e-aa10-c13e61aabf0c</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RoutingRuleDescription">
    <vt:lpwstr/>
  </property>
  <property fmtid="{D5CDD505-2E9C-101B-9397-08002B2CF9AE}" pid="25" name="DEECD_Author">
    <vt:lpwstr/>
  </property>
</Properties>
</file>